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DA" w:rsidRPr="00DE5FDA" w:rsidRDefault="00DE5FDA" w:rsidP="00DE5F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ЗАКОН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ГОРОДА СЕВАСТОПОЛЯ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О внесении изменений в Закон города Севастополя от 14 августа 2014 года </w:t>
      </w:r>
      <w:r w:rsidRPr="00192289">
        <w:rPr>
          <w:rFonts w:ascii="Arial" w:eastAsia="Times New Roman" w:hAnsi="Arial" w:cs="Arial"/>
          <w:sz w:val="20"/>
          <w:szCs w:val="20"/>
          <w:lang w:eastAsia="ru-RU"/>
        </w:rPr>
        <w:t>№ 57-ЗС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патентной системе налогообложения на территории города федерального значения Севастополя»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Принят Законодательным Собранием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города Севастополя 24 ноября 2016 года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Статья 1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Внести в Закон города Севастополя от 14 августа 2014 года </w:t>
      </w:r>
      <w:r w:rsidRPr="00192289">
        <w:rPr>
          <w:rFonts w:ascii="Arial" w:eastAsia="Times New Roman" w:hAnsi="Arial" w:cs="Arial"/>
          <w:sz w:val="20"/>
          <w:szCs w:val="20"/>
          <w:lang w:eastAsia="ru-RU"/>
        </w:rPr>
        <w:t>№ 57-ЗС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патентной системе налогообложения на территории города федерального значения Севастополя» следующие изменения: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1) статью 2 изложить в следующей редакции: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«Статья 2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1 к настоящему Закону с учетом территориальных коэффициентов по территории действия патентов к размеру потенциально возможного к получению годового дохода по внутригородским муниципальным образованиям города Севастополя согласно приложению 2 к настоящему Закону (далее – территориальные коэффициенты), за исключением видов предпринимательской деятельности, указанных в части 2 настоящей статьи.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2. Установить в отношении видов предпринимательской деятельности, указанных в пунктах 10, 11, 32, 33 и подпункте 46.2 пункта 46 приложения 1 к настоящему Закону, размеры потенциально возможного к получению индивидуальным предпринимателем годового дохода согласно приложению 1 к настоящему Закону без применения территориальных коэффициентов.»;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2) статью 3 изложить в следующей редакции: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«Статья 3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1. Установить максимальный размер потенциально возможного к получению индивидуальным предпринимателем годового дохода: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1) для видов предпринимательской деятельности, указанных в пунктах 9, 10, 11, 32, 33, 38, 42, 43 приложения 1 к настоящему Закону, – 3 млн. рублей;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2) для видов предпринимательской деятельности, указанных в пунктах 19, 45–47 приложения 1 к настоящему Закону, – 10 млн. рублей.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2. В случае, если для видов предпринимательской деятельности, указанных в приложении 1, за исключением указанных в пунктах 9, 10, 11, 19, 32, 33, 38, 42, 43, 45–47, размер потенциально возможного к получению индивидуальным предпринимателем дохода превысит максимальный размер, определенный пунктом 7 статьи 346.43 Налогового кодекса Российской Федерации, то применяется размер потенциально возможного к получению индивидуальным предпринимателем дохода, равный размеру, определенному пунктом 7 статьи 346.43 Налогового кодекса Российской Федерации.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3. В случае, если для видов предпринимательской деятельности, указанных в пунктах 9, 10, 11, 32, 33, 38, 42, 43 приложения 1, размер потенциально возможного к получению индивидуальным предпринимателем дохода превысит максимальный размер, определенный пунктом 1 части 1 настоящей статьи, то применяется размер потенциально возможного к получению индивидуальным предпринимателем дохода, равный размеру, определенному пунктом 1 части 1 настоящей статьи.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lastRenderedPageBreak/>
        <w:t>4. В случае, если для видов предпринимательской деятельности, указанных в пунктах 19, 45–47 приложения 1, размер потенциально возможного к получению индивидуальным предпринимателем дохода превысит максимальный размер, определенный пунктом 2 части 1 настоящей статьи, то применяется размер потенциально возможного к получению индивидуальным предпринимателем дохода, равный определенному пунктом 2 части 1 настоящей статьи.»;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3) статью 3.1 изложить в следующей редакции: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«Статья 3.1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1. В отношении периодов 2015–2016 годов налоговая ставка устанавливается для всех категорий налогоплательщиков в размере 1 процента.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2. В отношении периодов 2017–2021 годов налоговая ставка устанавливается для всех категорий налогоплательщиков в размере 4 процентов.»;</w:t>
      </w:r>
    </w:p>
    <w:p w:rsid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4) приложение изложить в следующей редакции:</w:t>
      </w:r>
    </w:p>
    <w:p w:rsidR="00DE5FDA" w:rsidRPr="00DE5FDA" w:rsidRDefault="00192289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192289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t>П</w:t>
      </w:r>
      <w:r w:rsidR="00DE5FDA" w:rsidRPr="00192289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t>риложение 1</w:t>
      </w:r>
      <w:r w:rsidR="00DE5FDA" w:rsidRPr="00192289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br/>
      </w:r>
      <w:r w:rsidR="00DE5FDA"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к Закону города Севастополя</w:t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</w:t>
      </w:r>
      <w:r w:rsidR="00DE5FDA"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патентной системе налогообложения на территории города федерального значения Севастополя»</w:t>
      </w:r>
    </w:p>
    <w:p w:rsidR="00DE5FDA" w:rsidRPr="00192289" w:rsidRDefault="00DE5FDA" w:rsidP="00DE5F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</w:pPr>
      <w:r w:rsidRPr="00192289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t>Размер</w:t>
      </w:r>
      <w:r w:rsidRPr="00192289">
        <w:rPr>
          <w:rFonts w:ascii="Arial" w:eastAsia="Times New Roman" w:hAnsi="Arial" w:cs="Arial"/>
          <w:b/>
          <w:color w:val="1A1A1A"/>
          <w:sz w:val="20"/>
          <w:szCs w:val="20"/>
          <w:lang w:eastAsia="ru-RU"/>
        </w:rPr>
        <w:br/>
        <w:t>потенциально возможного к получению индивидуальным предпринимателем годового дохода по видам предпринимательской деятельности </w:t>
      </w:r>
    </w:p>
    <w:tbl>
      <w:tblPr>
        <w:tblW w:w="9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970"/>
        <w:gridCol w:w="1695"/>
        <w:gridCol w:w="1710"/>
        <w:gridCol w:w="2760"/>
      </w:tblGrid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Наименование видов деятельности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Физический показатель</w:t>
            </w:r>
          </w:p>
        </w:tc>
        <w:tc>
          <w:tcPr>
            <w:tcW w:w="2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Размер потенциально возможного к получению индивидуальным предпринимателем годового дохода</w:t>
            </w:r>
          </w:p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Величина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Ремонт, чистка, окраска и пошив обуви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Парикмахерские и косметические услуги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 и 100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Химическая чистка, крашение и услуги прачечных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средняя численность наемных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 и 100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 и 100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мебели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440 и 90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фотоателье, фото- и кинолабораторий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 и 110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Техническое обслуживание и ремонт автотранспортных и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мототранспортных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средств, машин и оборудования: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Техническое обслуживание и ремонт автотранспортных и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мототранспортных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средств, машин и оборудования, за исключением уборочно-моечных работ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880 и 150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Уборочно-моечные работы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930 и 100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 и 105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автотранспортных услуг по перевозке пассажиров автомобильным транспортом: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Оказание автотранспортных услуг по перевозке пассажиров автомобильным транспортом,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за исключением внутригородских, пригородных, междугородных, международных автомобильных (автобусных) пассажирских перевозок по регулярным маршрутам, услуг по перевозке легковыми таксомоторами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1695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1695 и 380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11.2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Внутригородские и пригородные автомобильные (автобусные) пассажирские перевозки по регулярным маршрутам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2260 и 500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Междугородние и международные автомобильные (автобусные) пассажирские перевозки по регулярным маршрутам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1675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2830 и 595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Перевозка пассажиров легковыми таксомоторами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 и 110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жилья и других построек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 и 130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420 и 95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495 и 115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обучению населения на курсах и по репетиторству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присмотру и уходу за детьми и больными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средняя численность наемных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40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Ветеринарные услуги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 и 105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Сдача в аренду (наем) собственного жилого недвижимого имущества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площадь обособленных объектов (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 20 включительно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110 и 3 за каждый последующий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сдаваемой в наем площади свыше 20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Сдача в аренду (наем) собственного нежилого недвижимого имущества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площадь обособленных объектов (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 10 включительно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500 и 10 за каждый последующий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сдаваемой в наем площади свыше 10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Изготовление изделий народных художественных промыслов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375 и 60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услуги производственного характера в соответствии с подпунктом 21 пункта 2 статьи 346.43 Налогового кодекса Российской Федерации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 и 40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Производство и реставрация ковров и ковровых изделий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 и 60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ювелирных изделий, бижутерии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565 и 110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Чеканка и гравировка ювелирных изделий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565 и 110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275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уборке жилых помещений и ведению домашнего хозяйства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255 и 60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 и 90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Проведение занятий по физической культуре и спорту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 и 100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40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платных туалетов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230 и 20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поваров по изготовлению блюд на дому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285 и 65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услуг по перевозке пассажиров водным транспортом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 и 180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услуг по перевозке грузов водным транспортом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 и 100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425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760 и 105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зеленому хозяйству и декоративному цветоводству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 и 70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Ведение охотничьего хозяйства и осуществление охоты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505 и 90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675 и 135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 и 60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по прокату: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Услуги по прокату, за исключением проката велосипедов водных, водных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лыж, лодок, катеров, водных скутеров, мотоциклов, мотороллеров, мопедов, велосипедов, легковых и грузовых автомобилей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 xml:space="preserve">средняя численность наемных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Прокат велосипедов водных, водных лыж, лодок, катеров, водных скутеров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 и 135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Прокат транспортных средств (мотоциклов, мотороллеров, мопедов, велосипедов, легковых и грузовых автомобилей)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транспортных средств (единиц)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760 и 175 за каждое последующее транспортное средство свыше 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Экскурсионные услуги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 и 120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Обрядовые услуги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Ритуальные услуги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уличных патрулей, охранников, сторожей и вахтеров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 и 50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Розничная торговля, осуществляемая через объекты стационарной торговой сети с площадью торгового зала не более 50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 каждому объекту организации торговли: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Розничная торговля, за исключением розничной торговли ювелирными изделиями и розничной торговли фармацевтическими и медицинскими товарами, косметическими и парфюмерными товарами в специализированных магазинах (аптеках)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площадь обособленных объектов (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 10 включительно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450 и 50 за каждый последующий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площади свыше 10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Розничная торговля фармацевтическими и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медицинскими товарами, косметическими и парфюмерными товарами в специализированных магазинах (аптеках)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площадь обособленных объектов (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 10 включительно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700 и 70 за каждый последующий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площади свыше 10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45.3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Розничная торговля ювелирными изделиями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площадь обособленных объектов (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 10 включительно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800 и 80 за каждый последующий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площади свыше 10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розничной торговли любыми видами товаров, осуществляемой передвижными средствами, и разносной торговли, торговли через автоматы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</w:t>
            </w:r>
          </w:p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обособленных объектов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 и 50 за каждый последующий объект свыше 3 объектов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Прочая розничная торговля вне магазинов (включает розничную торговлю любыми видами товаров, осуществляемую передвижными средствами развозной и разносной торговли, торговлю через автоматы)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 обособленных объектов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 и 50 за каждый последующий объект свыше 3 объектов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Услуги общественного питания, оказываемые через объекты организации общественного питания с площадью зала обслуживания посетителей не более 50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 каждому объекту организации общественного питания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площадь обособленных объектов (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 10 включительно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10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450 и 20 за каждый последующий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площади свыше 10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количество</w:t>
            </w:r>
          </w:p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обособленных объектов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546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714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714 и 126 за каждый последующий объект свыше 3 объектов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 382 и 67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Производство кожи и изделий из кожи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средняя численность наемных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728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 и 168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недревесных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лесных ресурсов и лекарственных растений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 и 67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Сушка, переработка и консервирование фруктов и овощей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364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476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476 и 84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Производство молочной продукции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364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476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476 и 84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 и 67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</w:t>
            </w:r>
          </w:p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364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476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476 и 84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Товарное и спортивное рыболовство и рыбоводство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187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187 и 33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382 и 67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Деятельность по письменному и устному переводу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средняя численность наемных </w:t>
            </w: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728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 и 168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Деятельность по уходу за престарелыми и инвалидами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256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435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435 и 76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216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367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367 и 65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Резка, обработка и отделка камня для памятников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728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 и 168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247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323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323 и 57 за каждого последующего работника свыше 2 человек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компьютеров и коммуникационного оборудования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средняя численность наемных работников (человек)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без наемных работников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728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</w:t>
            </w:r>
          </w:p>
        </w:tc>
      </w:tr>
      <w:tr w:rsidR="00DE5FDA" w:rsidRPr="00DE5FDA" w:rsidTr="00DE5F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свыше 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952 и 168 за каждого последующего работника свыше 2 человек</w:t>
            </w:r>
          </w:p>
        </w:tc>
      </w:tr>
    </w:tbl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5) дополнить приложением 2 следующего содержания: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«Приложение 2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к Закону города Севастополя</w:t>
      </w:r>
      <w:r w:rsidR="00192289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патентной системе налогообложения  на территории города федерального значения Севастополя»                                                                           </w:t>
      </w:r>
    </w:p>
    <w:tbl>
      <w:tblPr>
        <w:tblW w:w="88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5"/>
        <w:gridCol w:w="2040"/>
      </w:tblGrid>
      <w:tr w:rsidR="00DE5FDA" w:rsidRPr="00DE5FDA" w:rsidTr="00192289">
        <w:trPr>
          <w:tblCellSpacing w:w="0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Территориальные коэффициенты по территории действия патентов к размеру потенциально возможного к получению годового дохода по внутригородским муниципальным образованиям города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СевастополяНаименование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внутригородского муниципального образования города Севастополя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Размер коэффициента</w:t>
            </w:r>
          </w:p>
        </w:tc>
      </w:tr>
      <w:tr w:rsidR="00DE5FDA" w:rsidRPr="00DE5FDA" w:rsidTr="00192289">
        <w:trPr>
          <w:tblCellSpacing w:w="0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Гагаринский, Ленинский, Нахимовский муниципальные округа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</w:tr>
      <w:tr w:rsidR="00DE5FDA" w:rsidRPr="00DE5FDA" w:rsidTr="00192289">
        <w:trPr>
          <w:tblCellSpacing w:w="0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Баклаклавский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0,9</w:t>
            </w:r>
          </w:p>
        </w:tc>
      </w:tr>
      <w:tr w:rsidR="00DE5FDA" w:rsidRPr="00DE5FDA" w:rsidTr="00192289">
        <w:trPr>
          <w:tblCellSpacing w:w="0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Качинский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Орлиновский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муниципальные округа, город </w:t>
            </w: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Инкерман</w:t>
            </w:r>
            <w:proofErr w:type="spellEnd"/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 0,8</w:t>
            </w:r>
          </w:p>
        </w:tc>
      </w:tr>
      <w:tr w:rsidR="00DE5FDA" w:rsidRPr="00DE5FDA" w:rsidTr="00192289">
        <w:trPr>
          <w:tblCellSpacing w:w="0" w:type="dxa"/>
        </w:trPr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Верхнесадовский</w:t>
            </w:r>
            <w:proofErr w:type="spellEnd"/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, Андреевский, Терновский муниципальные округа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E5FDA" w:rsidRPr="00DE5FDA" w:rsidRDefault="00DE5FDA" w:rsidP="00DE5F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DE5FDA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 0,7</w:t>
            </w:r>
          </w:p>
        </w:tc>
      </w:tr>
    </w:tbl>
    <w:p w:rsidR="00DE5FDA" w:rsidRPr="00DE5FDA" w:rsidRDefault="00DE5FDA" w:rsidP="00DE5F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 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lastRenderedPageBreak/>
        <w:t>Статья 2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Настоящий Закон вступает в силу не ранее чем по истечении одного месяца со дня его официального опубликования и не ранее 1 января 2017 года.</w:t>
      </w:r>
    </w:p>
    <w:p w:rsidR="00DE5FDA" w:rsidRPr="00DE5FDA" w:rsidRDefault="00DE5FDA" w:rsidP="00DE5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Временно исполняющий обязанности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Губернатора города Севастополя                                       </w:t>
      </w:r>
      <w:proofErr w:type="spellStart"/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Д.В.Овсянников</w:t>
      </w:r>
      <w:proofErr w:type="spellEnd"/>
    </w:p>
    <w:p w:rsidR="00275D30" w:rsidRDefault="00DE5FDA" w:rsidP="00DE5FDA">
      <w:pPr>
        <w:spacing w:before="100" w:beforeAutospacing="1" w:after="100" w:afterAutospacing="1" w:line="240" w:lineRule="auto"/>
      </w:pP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Севастополь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30 ноября 2016 года </w:t>
      </w:r>
      <w:r w:rsidRPr="00DE5FDA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№ 294-ЗС</w:t>
      </w:r>
    </w:p>
    <w:sectPr w:rsidR="0027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DA"/>
    <w:rsid w:val="00192289"/>
    <w:rsid w:val="00275D30"/>
    <w:rsid w:val="00D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FF175-5C3E-4690-9120-E5A1B2E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F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5FDA"/>
    <w:rPr>
      <w:color w:val="800080"/>
      <w:u w:val="single"/>
    </w:rPr>
  </w:style>
  <w:style w:type="character" w:customStyle="1" w:styleId="apple-converted-space">
    <w:name w:val="apple-converted-space"/>
    <w:basedOn w:val="a0"/>
    <w:rsid w:val="00DE5FDA"/>
  </w:style>
  <w:style w:type="paragraph" w:customStyle="1" w:styleId="consplusnormal">
    <w:name w:val="consplusnormal"/>
    <w:basedOn w:val="a"/>
    <w:rsid w:val="00DE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E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2016-12-01T10:32:00Z</dcterms:created>
  <dcterms:modified xsi:type="dcterms:W3CDTF">2016-12-02T10:05:00Z</dcterms:modified>
</cp:coreProperties>
</file>